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DF694">
      <w:pPr>
        <w:snapToGrid w:val="0"/>
        <w:rPr>
          <w:rFonts w:hint="eastAsia" w:ascii="宋体" w:hAnsi="宋体" w:cs="Arial"/>
          <w:b/>
          <w:sz w:val="32"/>
          <w:szCs w:val="21"/>
        </w:rPr>
      </w:pPr>
      <w:bookmarkStart w:id="0" w:name="_GoBack"/>
      <w:bookmarkEnd w:id="0"/>
      <w:r>
        <w:rPr>
          <w:rFonts w:hint="eastAsia" w:ascii="宋体" w:hAnsi="宋体" w:cs="Arial"/>
          <w:b/>
          <w:sz w:val="32"/>
          <w:szCs w:val="21"/>
        </w:rPr>
        <w:t>国产遥感影像超分重建模块综合评分表</w:t>
      </w:r>
    </w:p>
    <w:p w14:paraId="681C6F04">
      <w:pPr>
        <w:pStyle w:val="2"/>
        <w:rPr>
          <w:rFonts w:hint="eastAsia"/>
        </w:rPr>
      </w:pPr>
    </w:p>
    <w:tbl>
      <w:tblPr>
        <w:tblStyle w:val="10"/>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275"/>
        <w:gridCol w:w="2268"/>
        <w:gridCol w:w="709"/>
        <w:gridCol w:w="3685"/>
        <w:gridCol w:w="709"/>
        <w:gridCol w:w="1134"/>
      </w:tblGrid>
      <w:tr w14:paraId="56438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76" w:type="dxa"/>
            <w:vAlign w:val="center"/>
          </w:tcPr>
          <w:p w14:paraId="3287B64D">
            <w:r>
              <w:t>评审因素</w:t>
            </w:r>
          </w:p>
        </w:tc>
        <w:tc>
          <w:tcPr>
            <w:tcW w:w="1275" w:type="dxa"/>
            <w:vAlign w:val="center"/>
          </w:tcPr>
          <w:p w14:paraId="1B696E08">
            <w:r>
              <w:t>评标指标</w:t>
            </w:r>
          </w:p>
        </w:tc>
        <w:tc>
          <w:tcPr>
            <w:tcW w:w="2268" w:type="dxa"/>
            <w:vAlign w:val="center"/>
          </w:tcPr>
          <w:p w14:paraId="36AEFC61">
            <w:r>
              <w:t>评审要点</w:t>
            </w:r>
          </w:p>
        </w:tc>
        <w:tc>
          <w:tcPr>
            <w:tcW w:w="709" w:type="dxa"/>
            <w:vAlign w:val="center"/>
          </w:tcPr>
          <w:p w14:paraId="7214D60C">
            <w:r>
              <w:t>分值</w:t>
            </w:r>
          </w:p>
        </w:tc>
        <w:tc>
          <w:tcPr>
            <w:tcW w:w="3685" w:type="dxa"/>
            <w:vAlign w:val="center"/>
          </w:tcPr>
          <w:p w14:paraId="24648F22">
            <w:r>
              <w:t>评分标准</w:t>
            </w:r>
          </w:p>
        </w:tc>
        <w:tc>
          <w:tcPr>
            <w:tcW w:w="709" w:type="dxa"/>
            <w:vAlign w:val="center"/>
          </w:tcPr>
          <w:p w14:paraId="40D3E019">
            <w:r>
              <w:t>得分区间</w:t>
            </w:r>
          </w:p>
        </w:tc>
        <w:tc>
          <w:tcPr>
            <w:tcW w:w="1134" w:type="dxa"/>
            <w:vAlign w:val="center"/>
          </w:tcPr>
          <w:p w14:paraId="1B48E345">
            <w:pPr>
              <w:rPr>
                <w:bCs/>
              </w:rPr>
            </w:pPr>
            <w:r>
              <w:rPr>
                <w:rFonts w:hint="eastAsia"/>
                <w:lang w:bidi="ar"/>
              </w:rPr>
              <w:t>实际得分</w:t>
            </w:r>
          </w:p>
        </w:tc>
      </w:tr>
      <w:tr w14:paraId="626FE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7"/>
            <w:vAlign w:val="center"/>
          </w:tcPr>
          <w:p w14:paraId="787CAFC4">
            <w:r>
              <w:rPr>
                <w:rFonts w:hint="eastAsia"/>
              </w:rPr>
              <w:t>价格部分（15%）</w:t>
            </w:r>
          </w:p>
        </w:tc>
      </w:tr>
      <w:tr w14:paraId="745D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7AFB59CD">
            <w:r>
              <w:rPr>
                <w:rFonts w:hint="eastAsia"/>
              </w:rPr>
              <w:t>价格</w:t>
            </w:r>
          </w:p>
        </w:tc>
        <w:tc>
          <w:tcPr>
            <w:tcW w:w="1275" w:type="dxa"/>
            <w:vAlign w:val="center"/>
          </w:tcPr>
          <w:p w14:paraId="17B10F67">
            <w:pPr>
              <w:rPr>
                <w:b/>
                <w:bCs/>
              </w:rPr>
            </w:pPr>
            <w:r>
              <w:rPr>
                <w:rFonts w:hint="eastAsia"/>
              </w:rPr>
              <w:t>优选报价</w:t>
            </w:r>
          </w:p>
        </w:tc>
        <w:tc>
          <w:tcPr>
            <w:tcW w:w="2268" w:type="dxa"/>
            <w:vAlign w:val="center"/>
          </w:tcPr>
          <w:p w14:paraId="7EA894B1">
            <w:pPr>
              <w:rPr>
                <w:b/>
                <w:bCs/>
              </w:rPr>
            </w:pPr>
            <w:r>
              <w:t>符合优选文件要求，初步评审合格，最低的优选报价为评标基准价，其价格得分为满分</w:t>
            </w:r>
          </w:p>
        </w:tc>
        <w:tc>
          <w:tcPr>
            <w:tcW w:w="709" w:type="dxa"/>
            <w:vAlign w:val="center"/>
          </w:tcPr>
          <w:p w14:paraId="245D45EF">
            <w:pPr>
              <w:rPr>
                <w:b/>
                <w:bCs/>
              </w:rPr>
            </w:pPr>
            <w:r>
              <w:rPr>
                <w:rFonts w:hint="eastAsia"/>
              </w:rPr>
              <w:t>15</w:t>
            </w:r>
          </w:p>
        </w:tc>
        <w:tc>
          <w:tcPr>
            <w:tcW w:w="3685" w:type="dxa"/>
            <w:vAlign w:val="center"/>
          </w:tcPr>
          <w:p w14:paraId="2950B093">
            <w:r>
              <w:t>优选报价得分=</w:t>
            </w:r>
            <w:r>
              <w:rPr>
                <w:rFonts w:hint="eastAsia"/>
              </w:rPr>
              <w:t>（</w:t>
            </w:r>
            <w:r>
              <w:t>评标基准价/优选报价</w:t>
            </w:r>
            <w:r>
              <w:rPr>
                <w:rFonts w:hint="eastAsia"/>
              </w:rPr>
              <w:t>）×10</w:t>
            </w:r>
            <w:r>
              <w:t>%</w:t>
            </w:r>
            <w:r>
              <w:rPr>
                <w:rFonts w:hint="eastAsia"/>
              </w:rPr>
              <w:t>×</w:t>
            </w:r>
            <w:r>
              <w:t>100，保留两位小数。</w:t>
            </w:r>
          </w:p>
        </w:tc>
        <w:tc>
          <w:tcPr>
            <w:tcW w:w="709" w:type="dxa"/>
            <w:vAlign w:val="center"/>
          </w:tcPr>
          <w:p w14:paraId="1792CD93">
            <w:r>
              <w:rPr>
                <w:rFonts w:hint="eastAsia"/>
              </w:rPr>
              <w:t>0-15</w:t>
            </w:r>
          </w:p>
        </w:tc>
        <w:tc>
          <w:tcPr>
            <w:tcW w:w="1134" w:type="dxa"/>
            <w:vAlign w:val="center"/>
          </w:tcPr>
          <w:p w14:paraId="75E52F87"/>
        </w:tc>
      </w:tr>
      <w:tr w14:paraId="4357D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7"/>
            <w:vAlign w:val="center"/>
          </w:tcPr>
          <w:p w14:paraId="3C0267E0">
            <w:r>
              <w:t>商务部分（</w:t>
            </w:r>
            <w:r>
              <w:rPr>
                <w:rFonts w:hint="eastAsia"/>
              </w:rPr>
              <w:t>35</w:t>
            </w:r>
            <w:r>
              <w:t>%）</w:t>
            </w:r>
          </w:p>
        </w:tc>
      </w:tr>
      <w:tr w14:paraId="7FD3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trPr>
        <w:tc>
          <w:tcPr>
            <w:tcW w:w="676" w:type="dxa"/>
            <w:vMerge w:val="restart"/>
            <w:vAlign w:val="center"/>
          </w:tcPr>
          <w:p w14:paraId="1C8544DC">
            <w:r>
              <w:rPr>
                <w:rFonts w:hint="eastAsia"/>
              </w:rPr>
              <w:t>商务</w:t>
            </w:r>
          </w:p>
        </w:tc>
        <w:tc>
          <w:tcPr>
            <w:tcW w:w="1275" w:type="dxa"/>
            <w:vAlign w:val="center"/>
          </w:tcPr>
          <w:p w14:paraId="3FAF799F">
            <w:r>
              <w:rPr>
                <w:rFonts w:eastAsiaTheme="minorEastAsia"/>
                <w:szCs w:val="24"/>
              </w:rPr>
              <w:t>工作业绩</w:t>
            </w:r>
          </w:p>
        </w:tc>
        <w:tc>
          <w:tcPr>
            <w:tcW w:w="2268" w:type="dxa"/>
            <w:vAlign w:val="center"/>
          </w:tcPr>
          <w:p w14:paraId="49D9B076">
            <w:r>
              <w:rPr>
                <w:rFonts w:eastAsiaTheme="minorEastAsia"/>
                <w:szCs w:val="24"/>
              </w:rPr>
              <w:t>近</w:t>
            </w:r>
            <w:r>
              <w:rPr>
                <w:rFonts w:hint="eastAsia" w:eastAsiaTheme="minorEastAsia"/>
                <w:szCs w:val="24"/>
              </w:rPr>
              <w:t>3</w:t>
            </w:r>
            <w:r>
              <w:rPr>
                <w:rFonts w:eastAsiaTheme="minorEastAsia"/>
                <w:szCs w:val="24"/>
              </w:rPr>
              <w:t>年</w:t>
            </w:r>
            <w:r>
              <w:rPr>
                <w:rFonts w:hint="eastAsia" w:eastAsiaTheme="minorEastAsia"/>
                <w:szCs w:val="24"/>
              </w:rPr>
              <w:t>内投标人是否须</w:t>
            </w:r>
            <w:r>
              <w:rPr>
                <w:rFonts w:eastAsiaTheme="minorEastAsia"/>
                <w:szCs w:val="24"/>
              </w:rPr>
              <w:t>具有</w:t>
            </w:r>
            <w:r>
              <w:rPr>
                <w:rFonts w:hint="eastAsia" w:eastAsiaTheme="minorEastAsia"/>
                <w:szCs w:val="24"/>
              </w:rPr>
              <w:t>超分重建软件的销售合同或者影像超分技术服务合同的</w:t>
            </w:r>
            <w:r>
              <w:rPr>
                <w:rFonts w:eastAsiaTheme="minorEastAsia"/>
                <w:szCs w:val="24"/>
              </w:rPr>
              <w:t>工作业绩</w:t>
            </w:r>
          </w:p>
        </w:tc>
        <w:tc>
          <w:tcPr>
            <w:tcW w:w="709" w:type="dxa"/>
            <w:vAlign w:val="center"/>
          </w:tcPr>
          <w:p w14:paraId="3F5387B1">
            <w:r>
              <w:rPr>
                <w:rFonts w:hint="eastAsia" w:eastAsiaTheme="minorEastAsia"/>
                <w:szCs w:val="24"/>
              </w:rPr>
              <w:t>16</w:t>
            </w:r>
          </w:p>
        </w:tc>
        <w:tc>
          <w:tcPr>
            <w:tcW w:w="3685" w:type="dxa"/>
            <w:vAlign w:val="center"/>
          </w:tcPr>
          <w:p w14:paraId="3F1ED236">
            <w:pPr>
              <w:pStyle w:val="20"/>
              <w:numPr>
                <w:ilvl w:val="0"/>
                <w:numId w:val="1"/>
              </w:numPr>
              <w:ind w:firstLineChars="0"/>
              <w:jc w:val="left"/>
              <w:rPr>
                <w:rFonts w:eastAsiaTheme="minorEastAsia"/>
                <w:szCs w:val="24"/>
              </w:rPr>
            </w:pPr>
            <w:r>
              <w:rPr>
                <w:rFonts w:hint="eastAsia" w:eastAsiaTheme="minorEastAsia"/>
                <w:szCs w:val="24"/>
              </w:rPr>
              <w:t>每提供一个超分重建软件的销售合同得2</w:t>
            </w:r>
            <w:r>
              <w:rPr>
                <w:rFonts w:eastAsiaTheme="minorEastAsia"/>
                <w:szCs w:val="24"/>
              </w:rPr>
              <w:t>分</w:t>
            </w:r>
          </w:p>
          <w:p w14:paraId="1C73499F">
            <w:pPr>
              <w:pStyle w:val="20"/>
              <w:numPr>
                <w:ilvl w:val="0"/>
                <w:numId w:val="1"/>
              </w:numPr>
              <w:ind w:firstLineChars="0"/>
              <w:jc w:val="left"/>
              <w:rPr>
                <w:rFonts w:eastAsiaTheme="minorEastAsia"/>
                <w:szCs w:val="24"/>
              </w:rPr>
            </w:pPr>
            <w:r>
              <w:rPr>
                <w:rFonts w:hint="eastAsia" w:eastAsiaTheme="minorEastAsia"/>
                <w:szCs w:val="24"/>
              </w:rPr>
              <w:t>提供一个影像超分技术服务合同得1</w:t>
            </w:r>
            <w:r>
              <w:rPr>
                <w:rFonts w:eastAsiaTheme="minorEastAsia"/>
                <w:szCs w:val="24"/>
              </w:rPr>
              <w:t>分</w:t>
            </w:r>
          </w:p>
          <w:p w14:paraId="0DDC10BD">
            <w:pPr>
              <w:pStyle w:val="20"/>
              <w:numPr>
                <w:ilvl w:val="0"/>
                <w:numId w:val="1"/>
              </w:numPr>
              <w:ind w:firstLineChars="0"/>
              <w:jc w:val="left"/>
              <w:rPr>
                <w:rFonts w:eastAsiaTheme="minorEastAsia"/>
                <w:szCs w:val="24"/>
              </w:rPr>
            </w:pPr>
            <w:r>
              <w:rPr>
                <w:rFonts w:eastAsiaTheme="minorEastAsia"/>
                <w:szCs w:val="24"/>
              </w:rPr>
              <w:t>其他</w:t>
            </w:r>
            <w:r>
              <w:rPr>
                <w:rFonts w:hint="eastAsia" w:eastAsiaTheme="minorEastAsia"/>
                <w:szCs w:val="24"/>
              </w:rPr>
              <w:t>情况</w:t>
            </w:r>
            <w:r>
              <w:rPr>
                <w:rFonts w:eastAsiaTheme="minorEastAsia"/>
                <w:szCs w:val="24"/>
              </w:rPr>
              <w:t>不得分</w:t>
            </w:r>
          </w:p>
          <w:p w14:paraId="02896F91">
            <w:r>
              <w:rPr>
                <w:rFonts w:hint="eastAsia" w:eastAsiaTheme="minorEastAsia"/>
                <w:szCs w:val="24"/>
              </w:rPr>
              <w:t>备注：</w:t>
            </w:r>
            <w:r>
              <w:rPr>
                <w:rFonts w:eastAsiaTheme="minorEastAsia"/>
                <w:szCs w:val="24"/>
              </w:rPr>
              <w:t>满分</w:t>
            </w:r>
            <w:r>
              <w:rPr>
                <w:rFonts w:hint="eastAsia" w:eastAsiaTheme="minorEastAsia"/>
                <w:szCs w:val="24"/>
              </w:rPr>
              <w:t>16</w:t>
            </w:r>
            <w:r>
              <w:rPr>
                <w:rFonts w:eastAsiaTheme="minorEastAsia"/>
                <w:szCs w:val="24"/>
              </w:rPr>
              <w:t>分</w:t>
            </w:r>
            <w:r>
              <w:rPr>
                <w:rFonts w:hint="eastAsia" w:eastAsiaTheme="minorEastAsia"/>
                <w:szCs w:val="24"/>
              </w:rPr>
              <w:t>，需提供项目合同复印件加盖公章，否则不得分。</w:t>
            </w:r>
          </w:p>
        </w:tc>
        <w:tc>
          <w:tcPr>
            <w:tcW w:w="709" w:type="dxa"/>
            <w:vAlign w:val="center"/>
          </w:tcPr>
          <w:p w14:paraId="6D89AE1E">
            <w:r>
              <w:rPr>
                <w:rFonts w:hint="eastAsia"/>
              </w:rPr>
              <w:t>0-</w:t>
            </w:r>
            <w:r>
              <w:t>1</w:t>
            </w:r>
            <w:r>
              <w:rPr>
                <w:rFonts w:hint="eastAsia"/>
              </w:rPr>
              <w:t>6</w:t>
            </w:r>
          </w:p>
        </w:tc>
        <w:tc>
          <w:tcPr>
            <w:tcW w:w="1134" w:type="dxa"/>
            <w:vAlign w:val="center"/>
          </w:tcPr>
          <w:p w14:paraId="55E9A7B1"/>
        </w:tc>
      </w:tr>
      <w:tr w14:paraId="1FD8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4" w:hRule="atLeast"/>
        </w:trPr>
        <w:tc>
          <w:tcPr>
            <w:tcW w:w="676" w:type="dxa"/>
            <w:vMerge w:val="continue"/>
            <w:vAlign w:val="center"/>
          </w:tcPr>
          <w:p w14:paraId="257721ED"/>
        </w:tc>
        <w:tc>
          <w:tcPr>
            <w:tcW w:w="1275" w:type="dxa"/>
            <w:vAlign w:val="center"/>
          </w:tcPr>
          <w:p w14:paraId="665D450E">
            <w:r>
              <w:rPr>
                <w:rFonts w:hint="eastAsia" w:eastAsiaTheme="minorEastAsia"/>
                <w:szCs w:val="24"/>
              </w:rPr>
              <w:t>项目团队</w:t>
            </w:r>
          </w:p>
        </w:tc>
        <w:tc>
          <w:tcPr>
            <w:tcW w:w="2268" w:type="dxa"/>
            <w:vAlign w:val="center"/>
          </w:tcPr>
          <w:p w14:paraId="232F20A0">
            <w:r>
              <w:rPr>
                <w:rFonts w:hint="eastAsia" w:ascii="宋体" w:hAnsi="宋体" w:cs="宋体"/>
                <w:kern w:val="0"/>
                <w:szCs w:val="21"/>
              </w:rPr>
              <w:t>拟承担的项目负责人及其团队成员须具备相关专业技术职称，包括测绘地理信息类和计算机类的中级、高级职称，或者教授和副教授职称。</w:t>
            </w:r>
          </w:p>
        </w:tc>
        <w:tc>
          <w:tcPr>
            <w:tcW w:w="709" w:type="dxa"/>
            <w:vAlign w:val="center"/>
          </w:tcPr>
          <w:p w14:paraId="62035B3C">
            <w:r>
              <w:rPr>
                <w:rFonts w:hint="eastAsia" w:eastAsiaTheme="minorEastAsia"/>
                <w:szCs w:val="24"/>
              </w:rPr>
              <w:t>7</w:t>
            </w:r>
          </w:p>
        </w:tc>
        <w:tc>
          <w:tcPr>
            <w:tcW w:w="3685" w:type="dxa"/>
            <w:vAlign w:val="center"/>
          </w:tcPr>
          <w:p w14:paraId="1E4F7DEC">
            <w:pPr>
              <w:pStyle w:val="20"/>
              <w:numPr>
                <w:ilvl w:val="0"/>
                <w:numId w:val="2"/>
              </w:numPr>
              <w:ind w:firstLineChars="0"/>
              <w:jc w:val="left"/>
              <w:rPr>
                <w:rFonts w:eastAsiaTheme="minorEastAsia"/>
                <w:szCs w:val="24"/>
              </w:rPr>
            </w:pPr>
            <w:r>
              <w:rPr>
                <w:rFonts w:hint="eastAsia" w:eastAsiaTheme="minorEastAsia"/>
                <w:szCs w:val="24"/>
              </w:rPr>
              <w:t>拟投入的项目负责人具有测绘地理信息类或计算机类高级或副教授及以上职称的，得2分；没提供的，得</w:t>
            </w:r>
            <w:r>
              <w:rPr>
                <w:rFonts w:eastAsiaTheme="minorEastAsia"/>
                <w:szCs w:val="24"/>
              </w:rPr>
              <w:t>0</w:t>
            </w:r>
            <w:r>
              <w:rPr>
                <w:rFonts w:hint="eastAsia" w:eastAsiaTheme="minorEastAsia"/>
                <w:szCs w:val="24"/>
              </w:rPr>
              <w:t>分。</w:t>
            </w:r>
          </w:p>
          <w:p w14:paraId="6A9E805A">
            <w:pPr>
              <w:pStyle w:val="20"/>
              <w:numPr>
                <w:ilvl w:val="0"/>
                <w:numId w:val="2"/>
              </w:numPr>
              <w:ind w:firstLineChars="0"/>
              <w:jc w:val="left"/>
              <w:rPr>
                <w:rFonts w:eastAsiaTheme="minorEastAsia"/>
                <w:szCs w:val="24"/>
              </w:rPr>
            </w:pPr>
            <w:r>
              <w:rPr>
                <w:rFonts w:hint="eastAsia" w:eastAsiaTheme="minorEastAsia"/>
                <w:szCs w:val="24"/>
              </w:rPr>
              <w:t>拟投入的技术负责人（非项目负责人）具有测绘地理信息类或计算机类高级或副教授及以上职称的，得2分；没提供的，得</w:t>
            </w:r>
            <w:r>
              <w:rPr>
                <w:rFonts w:eastAsiaTheme="minorEastAsia"/>
                <w:szCs w:val="24"/>
              </w:rPr>
              <w:t>0</w:t>
            </w:r>
            <w:r>
              <w:rPr>
                <w:rFonts w:hint="eastAsia" w:eastAsiaTheme="minorEastAsia"/>
                <w:szCs w:val="24"/>
              </w:rPr>
              <w:t>分。</w:t>
            </w:r>
          </w:p>
          <w:p w14:paraId="5DAEF0AF">
            <w:pPr>
              <w:pStyle w:val="20"/>
              <w:numPr>
                <w:ilvl w:val="0"/>
                <w:numId w:val="2"/>
              </w:numPr>
              <w:ind w:firstLineChars="0"/>
              <w:jc w:val="left"/>
              <w:rPr>
                <w:rFonts w:eastAsiaTheme="minorEastAsia"/>
                <w:szCs w:val="24"/>
              </w:rPr>
            </w:pPr>
            <w:r>
              <w:rPr>
                <w:rFonts w:hint="eastAsia" w:eastAsiaTheme="minorEastAsia"/>
                <w:szCs w:val="24"/>
              </w:rPr>
              <w:t>拟投入的项目组成员（项目负责人和技术负责人除外）具有中级职称的，每个得1分；没提供的，得</w:t>
            </w:r>
            <w:r>
              <w:rPr>
                <w:rFonts w:eastAsiaTheme="minorEastAsia"/>
                <w:szCs w:val="24"/>
              </w:rPr>
              <w:t>0</w:t>
            </w:r>
            <w:r>
              <w:rPr>
                <w:rFonts w:hint="eastAsia" w:eastAsiaTheme="minorEastAsia"/>
                <w:szCs w:val="24"/>
              </w:rPr>
              <w:t>分；最高得3分。</w:t>
            </w:r>
          </w:p>
          <w:p w14:paraId="35D00715">
            <w:r>
              <w:rPr>
                <w:rFonts w:hint="eastAsia" w:ascii="宋体" w:hAnsi="宋体"/>
                <w:sz w:val="22"/>
              </w:rPr>
              <w:t>备注：须提供技术人员名单、学历学位证书/专业技术职称证书/资格证书及在本单位缴纳社保的证明材料，未按要求提供者不得分。</w:t>
            </w:r>
          </w:p>
        </w:tc>
        <w:tc>
          <w:tcPr>
            <w:tcW w:w="709" w:type="dxa"/>
            <w:vAlign w:val="center"/>
          </w:tcPr>
          <w:p w14:paraId="08AC74E4">
            <w:r>
              <w:rPr>
                <w:rFonts w:hint="eastAsia"/>
              </w:rPr>
              <w:t>0-7</w:t>
            </w:r>
          </w:p>
        </w:tc>
        <w:tc>
          <w:tcPr>
            <w:tcW w:w="1134" w:type="dxa"/>
            <w:vAlign w:val="center"/>
          </w:tcPr>
          <w:p w14:paraId="5B0D1483"/>
        </w:tc>
      </w:tr>
      <w:tr w14:paraId="20D15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676" w:type="dxa"/>
            <w:vMerge w:val="continue"/>
            <w:vAlign w:val="center"/>
          </w:tcPr>
          <w:p w14:paraId="75034922"/>
        </w:tc>
        <w:tc>
          <w:tcPr>
            <w:tcW w:w="1275" w:type="dxa"/>
            <w:vAlign w:val="center"/>
          </w:tcPr>
          <w:p w14:paraId="1A198308">
            <w:r>
              <w:rPr>
                <w:rFonts w:hint="eastAsia" w:eastAsiaTheme="minorEastAsia"/>
                <w:szCs w:val="24"/>
              </w:rPr>
              <w:t>综合实力</w:t>
            </w:r>
          </w:p>
        </w:tc>
        <w:tc>
          <w:tcPr>
            <w:tcW w:w="2268" w:type="dxa"/>
            <w:vAlign w:val="center"/>
          </w:tcPr>
          <w:p w14:paraId="5FC4901D">
            <w:r>
              <w:rPr>
                <w:rFonts w:hint="eastAsia" w:ascii="宋体" w:hAnsi="宋体"/>
                <w:sz w:val="22"/>
              </w:rPr>
              <w:t>投标人须要提供相关的知识产权证书（软件著作和发明专利），证明自己有足够的技术积累可以承接本项目。</w:t>
            </w:r>
          </w:p>
        </w:tc>
        <w:tc>
          <w:tcPr>
            <w:tcW w:w="709" w:type="dxa"/>
            <w:vAlign w:val="center"/>
          </w:tcPr>
          <w:p w14:paraId="12D989F2">
            <w:r>
              <w:rPr>
                <w:rFonts w:hint="eastAsia" w:eastAsiaTheme="minorEastAsia"/>
                <w:szCs w:val="24"/>
              </w:rPr>
              <w:t>10</w:t>
            </w:r>
          </w:p>
        </w:tc>
        <w:tc>
          <w:tcPr>
            <w:tcW w:w="3685" w:type="dxa"/>
            <w:vAlign w:val="center"/>
          </w:tcPr>
          <w:p w14:paraId="3E8DC17C">
            <w:r>
              <w:rPr>
                <w:rFonts w:hint="eastAsia" w:ascii="宋体" w:hAnsi="宋体"/>
                <w:sz w:val="22"/>
              </w:rPr>
              <w:t>投标人获得的地理信息类、遥感人工智能类相关的国家发明专利授权或者软件著作权，要求专利或软件著作权的名称中含“遥感智能”、“地理信息系”、“样本库”、“智能模型”、“变化检测”等关键词之一，每提供1个，得2分，本项最高得10分。</w:t>
            </w:r>
          </w:p>
        </w:tc>
        <w:tc>
          <w:tcPr>
            <w:tcW w:w="709" w:type="dxa"/>
            <w:vAlign w:val="center"/>
          </w:tcPr>
          <w:p w14:paraId="5F449134">
            <w:pPr>
              <w:rPr>
                <w:rFonts w:hint="eastAsia"/>
              </w:rPr>
            </w:pPr>
            <w:r>
              <w:rPr>
                <w:rFonts w:hint="eastAsia"/>
              </w:rPr>
              <w:t>0-10</w:t>
            </w:r>
          </w:p>
        </w:tc>
        <w:tc>
          <w:tcPr>
            <w:tcW w:w="1134" w:type="dxa"/>
            <w:vAlign w:val="center"/>
          </w:tcPr>
          <w:p w14:paraId="64836BF4"/>
        </w:tc>
      </w:tr>
      <w:tr w14:paraId="6AA5E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676" w:type="dxa"/>
            <w:vMerge w:val="continue"/>
            <w:vAlign w:val="center"/>
          </w:tcPr>
          <w:p w14:paraId="71D9D265"/>
        </w:tc>
        <w:tc>
          <w:tcPr>
            <w:tcW w:w="1275" w:type="dxa"/>
            <w:vMerge w:val="restart"/>
            <w:vAlign w:val="center"/>
          </w:tcPr>
          <w:p w14:paraId="4C6953A4">
            <w:r>
              <w:rPr>
                <w:rFonts w:hint="eastAsia"/>
              </w:rPr>
              <w:t>承诺书</w:t>
            </w:r>
          </w:p>
        </w:tc>
        <w:tc>
          <w:tcPr>
            <w:tcW w:w="2268" w:type="dxa"/>
            <w:vAlign w:val="center"/>
          </w:tcPr>
          <w:p w14:paraId="7FBAAA98">
            <w:r>
              <w:rPr>
                <w:rFonts w:hint="eastAsia"/>
              </w:rPr>
              <w:t>经费专款专用承诺</w:t>
            </w:r>
          </w:p>
        </w:tc>
        <w:tc>
          <w:tcPr>
            <w:tcW w:w="709" w:type="dxa"/>
            <w:vAlign w:val="center"/>
          </w:tcPr>
          <w:p w14:paraId="372F7843">
            <w:r>
              <w:rPr>
                <w:rFonts w:hint="eastAsia"/>
              </w:rPr>
              <w:t>1</w:t>
            </w:r>
          </w:p>
        </w:tc>
        <w:tc>
          <w:tcPr>
            <w:tcW w:w="3685" w:type="dxa"/>
            <w:vAlign w:val="center"/>
          </w:tcPr>
          <w:p w14:paraId="332583AC">
            <w:r>
              <w:rPr>
                <w:rFonts w:hint="eastAsia"/>
              </w:rPr>
              <w:t>按照公告要求，提供“经费使用要求‘专款专用，单独核算’，不得挤占、挪用”承诺的，得1分，未提供不得分</w:t>
            </w:r>
          </w:p>
        </w:tc>
        <w:tc>
          <w:tcPr>
            <w:tcW w:w="709" w:type="dxa"/>
            <w:vAlign w:val="center"/>
          </w:tcPr>
          <w:p w14:paraId="41393573">
            <w:r>
              <w:rPr>
                <w:rFonts w:hint="eastAsia"/>
              </w:rPr>
              <w:t>0-1</w:t>
            </w:r>
          </w:p>
        </w:tc>
        <w:tc>
          <w:tcPr>
            <w:tcW w:w="1134" w:type="dxa"/>
            <w:vAlign w:val="center"/>
          </w:tcPr>
          <w:p w14:paraId="4AC4600F"/>
        </w:tc>
      </w:tr>
      <w:tr w14:paraId="7DD72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76" w:type="dxa"/>
            <w:vMerge w:val="continue"/>
            <w:vAlign w:val="center"/>
          </w:tcPr>
          <w:p w14:paraId="06A21ABA"/>
        </w:tc>
        <w:tc>
          <w:tcPr>
            <w:tcW w:w="1275" w:type="dxa"/>
            <w:vMerge w:val="continue"/>
            <w:vAlign w:val="center"/>
          </w:tcPr>
          <w:p w14:paraId="13E81203"/>
        </w:tc>
        <w:tc>
          <w:tcPr>
            <w:tcW w:w="2268" w:type="dxa"/>
            <w:vAlign w:val="center"/>
          </w:tcPr>
          <w:p w14:paraId="4907B8A8">
            <w:r>
              <w:rPr>
                <w:rFonts w:hint="eastAsia"/>
              </w:rPr>
              <w:t>安全保障和安全责任承诺</w:t>
            </w:r>
          </w:p>
        </w:tc>
        <w:tc>
          <w:tcPr>
            <w:tcW w:w="709" w:type="dxa"/>
            <w:vAlign w:val="center"/>
          </w:tcPr>
          <w:p w14:paraId="4843EE61">
            <w:r>
              <w:rPr>
                <w:rFonts w:hint="eastAsia"/>
              </w:rPr>
              <w:t>1</w:t>
            </w:r>
          </w:p>
        </w:tc>
        <w:tc>
          <w:tcPr>
            <w:tcW w:w="3685" w:type="dxa"/>
            <w:vAlign w:val="center"/>
          </w:tcPr>
          <w:p w14:paraId="711CE7E9">
            <w:r>
              <w:rPr>
                <w:rFonts w:hint="eastAsia"/>
              </w:rPr>
              <w:t>按照公告要求，提供“具有安全保障体系，能够独立承担生产安全事故责任”承诺的，得1分，未提供不得分</w:t>
            </w:r>
          </w:p>
        </w:tc>
        <w:tc>
          <w:tcPr>
            <w:tcW w:w="709" w:type="dxa"/>
            <w:vAlign w:val="center"/>
          </w:tcPr>
          <w:p w14:paraId="7CF9CC54">
            <w:r>
              <w:rPr>
                <w:rFonts w:hint="eastAsia"/>
              </w:rPr>
              <w:t>0-1</w:t>
            </w:r>
          </w:p>
        </w:tc>
        <w:tc>
          <w:tcPr>
            <w:tcW w:w="1134" w:type="dxa"/>
            <w:vAlign w:val="center"/>
          </w:tcPr>
          <w:p w14:paraId="1620A7EE"/>
        </w:tc>
      </w:tr>
      <w:tr w14:paraId="5171C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7"/>
            <w:vAlign w:val="center"/>
          </w:tcPr>
          <w:p w14:paraId="412206F5">
            <w:r>
              <w:t>技术部分（5</w:t>
            </w:r>
            <w:r>
              <w:rPr>
                <w:rFonts w:hint="eastAsia"/>
              </w:rPr>
              <w:t>0</w:t>
            </w:r>
            <w:r>
              <w:t>%）</w:t>
            </w:r>
          </w:p>
        </w:tc>
      </w:tr>
      <w:tr w14:paraId="46D49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5" w:hRule="atLeast"/>
        </w:trPr>
        <w:tc>
          <w:tcPr>
            <w:tcW w:w="676" w:type="dxa"/>
            <w:vMerge w:val="restart"/>
            <w:vAlign w:val="center"/>
          </w:tcPr>
          <w:p w14:paraId="14C729BA">
            <w:r>
              <w:t>技术</w:t>
            </w:r>
          </w:p>
        </w:tc>
        <w:tc>
          <w:tcPr>
            <w:tcW w:w="1275" w:type="dxa"/>
            <w:vAlign w:val="center"/>
          </w:tcPr>
          <w:p w14:paraId="379891F9">
            <w:r>
              <w:rPr>
                <w:rFonts w:hint="eastAsia"/>
              </w:rPr>
              <w:t>工作内容的理解</w:t>
            </w:r>
          </w:p>
        </w:tc>
        <w:tc>
          <w:tcPr>
            <w:tcW w:w="2268" w:type="dxa"/>
            <w:vAlign w:val="center"/>
          </w:tcPr>
          <w:p w14:paraId="7324C948">
            <w:r>
              <w:rPr>
                <w:rFonts w:hint="eastAsia"/>
              </w:rPr>
              <w:t>是否对工作需求有准确的理解，并且提供证明材料，具备超分重建算法开发和样本标注的经验和基础；</w:t>
            </w:r>
          </w:p>
        </w:tc>
        <w:tc>
          <w:tcPr>
            <w:tcW w:w="709" w:type="dxa"/>
            <w:vAlign w:val="center"/>
          </w:tcPr>
          <w:p w14:paraId="654AC877">
            <w:r>
              <w:t>10</w:t>
            </w:r>
          </w:p>
        </w:tc>
        <w:tc>
          <w:tcPr>
            <w:tcW w:w="3685" w:type="dxa"/>
            <w:vAlign w:val="center"/>
          </w:tcPr>
          <w:p w14:paraId="00F95A12">
            <w:r>
              <w:rPr>
                <w:rFonts w:hint="eastAsia"/>
              </w:rPr>
              <w:t>有丰富的超分重建算法开发和样本标注的经验和基础</w:t>
            </w:r>
            <w:r>
              <w:t>，对</w:t>
            </w:r>
            <w:r>
              <w:rPr>
                <w:rFonts w:hint="eastAsia"/>
              </w:rPr>
              <w:t>工作需求理解和</w:t>
            </w:r>
            <w:r>
              <w:t>分析充分</w:t>
            </w:r>
            <w:r>
              <w:rPr>
                <w:rFonts w:hint="eastAsia"/>
              </w:rPr>
              <w:t>，</w:t>
            </w:r>
            <w:r>
              <w:t>得10</w:t>
            </w:r>
            <w:r>
              <w:rPr>
                <w:rFonts w:hint="eastAsia"/>
              </w:rPr>
              <w:t>分；有一定超分重建模块开发和样本标注的经验和基础，对工作需求理解和分析基本得当，得6分；超分重建算法开发和样本标注的经验和基础差，对工作需求理解偏离较大，得3分；未提供工作经验及需求理解材料的，不得分。</w:t>
            </w:r>
          </w:p>
        </w:tc>
        <w:tc>
          <w:tcPr>
            <w:tcW w:w="709" w:type="dxa"/>
            <w:vAlign w:val="center"/>
          </w:tcPr>
          <w:p w14:paraId="79011A09">
            <w:r>
              <w:rPr>
                <w:rFonts w:hint="eastAsia"/>
              </w:rPr>
              <w:t>0-</w:t>
            </w:r>
            <w:r>
              <w:t>10</w:t>
            </w:r>
          </w:p>
        </w:tc>
        <w:tc>
          <w:tcPr>
            <w:tcW w:w="1134" w:type="dxa"/>
            <w:vAlign w:val="center"/>
          </w:tcPr>
          <w:p w14:paraId="3A50BFA3"/>
        </w:tc>
      </w:tr>
      <w:tr w14:paraId="08EB7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676" w:type="dxa"/>
            <w:vMerge w:val="continue"/>
            <w:vAlign w:val="center"/>
          </w:tcPr>
          <w:p w14:paraId="640BD51B"/>
        </w:tc>
        <w:tc>
          <w:tcPr>
            <w:tcW w:w="1275" w:type="dxa"/>
            <w:vAlign w:val="center"/>
          </w:tcPr>
          <w:p w14:paraId="34FB59FB">
            <w:pPr>
              <w:rPr>
                <w:rFonts w:hint="eastAsia"/>
              </w:rPr>
            </w:pPr>
            <w:r>
              <w:rPr>
                <w:rFonts w:hint="eastAsia"/>
              </w:rPr>
              <w:t>技术要求的响应</w:t>
            </w:r>
          </w:p>
        </w:tc>
        <w:tc>
          <w:tcPr>
            <w:tcW w:w="2268" w:type="dxa"/>
            <w:vAlign w:val="center"/>
          </w:tcPr>
          <w:p w14:paraId="29B7BE9D">
            <w:pPr>
              <w:rPr>
                <w:rFonts w:hint="eastAsia"/>
              </w:rPr>
            </w:pPr>
            <w:r>
              <w:t>技术要求响应是否充分，</w:t>
            </w:r>
            <w:r>
              <w:rPr>
                <w:rFonts w:hint="eastAsia"/>
              </w:rPr>
              <w:t>是否提供证明材料</w:t>
            </w:r>
          </w:p>
        </w:tc>
        <w:tc>
          <w:tcPr>
            <w:tcW w:w="709" w:type="dxa"/>
            <w:vAlign w:val="center"/>
          </w:tcPr>
          <w:p w14:paraId="09184B01">
            <w:pPr>
              <w:rPr>
                <w:rFonts w:hint="eastAsia"/>
              </w:rPr>
            </w:pPr>
            <w:r>
              <w:rPr>
                <w:rFonts w:hint="eastAsia"/>
              </w:rPr>
              <w:t>16</w:t>
            </w:r>
          </w:p>
        </w:tc>
        <w:tc>
          <w:tcPr>
            <w:tcW w:w="3685" w:type="dxa"/>
            <w:vAlign w:val="center"/>
          </w:tcPr>
          <w:p w14:paraId="04022129">
            <w:pPr>
              <w:rPr>
                <w:rFonts w:hint="eastAsia"/>
              </w:rPr>
            </w:pPr>
            <w:r>
              <w:rPr>
                <w:rFonts w:hint="eastAsia"/>
              </w:rPr>
              <w:t>每响应技术要求内容中的一个条款，并且提供证明材料，得1分；未明确响应或者没有提供证明材料的条款，不得分；</w:t>
            </w:r>
          </w:p>
        </w:tc>
        <w:tc>
          <w:tcPr>
            <w:tcW w:w="709" w:type="dxa"/>
            <w:vAlign w:val="center"/>
          </w:tcPr>
          <w:p w14:paraId="60BED36C">
            <w:pPr>
              <w:rPr>
                <w:rFonts w:hint="eastAsia"/>
              </w:rPr>
            </w:pPr>
            <w:r>
              <w:rPr>
                <w:rFonts w:hint="eastAsia"/>
              </w:rPr>
              <w:t>0-16</w:t>
            </w:r>
          </w:p>
        </w:tc>
        <w:tc>
          <w:tcPr>
            <w:tcW w:w="1134" w:type="dxa"/>
            <w:vAlign w:val="center"/>
          </w:tcPr>
          <w:p w14:paraId="13C1B28D"/>
        </w:tc>
      </w:tr>
      <w:tr w14:paraId="4536D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676" w:type="dxa"/>
            <w:vMerge w:val="continue"/>
            <w:vAlign w:val="center"/>
          </w:tcPr>
          <w:p w14:paraId="7656EB19"/>
        </w:tc>
        <w:tc>
          <w:tcPr>
            <w:tcW w:w="1275" w:type="dxa"/>
            <w:vAlign w:val="center"/>
          </w:tcPr>
          <w:p w14:paraId="7F8616A3">
            <w:pPr>
              <w:rPr>
                <w:rFonts w:hint="eastAsia"/>
              </w:rPr>
            </w:pPr>
            <w:r>
              <w:rPr>
                <w:rFonts w:hint="eastAsia" w:eastAsiaTheme="minorEastAsia"/>
                <w:szCs w:val="24"/>
              </w:rPr>
              <w:t>进度计划</w:t>
            </w:r>
          </w:p>
        </w:tc>
        <w:tc>
          <w:tcPr>
            <w:tcW w:w="2268" w:type="dxa"/>
            <w:vAlign w:val="center"/>
          </w:tcPr>
          <w:p w14:paraId="561F7575">
            <w:r>
              <w:rPr>
                <w:rFonts w:hint="eastAsia"/>
                <w:sz w:val="22"/>
                <w:szCs w:val="22"/>
              </w:rPr>
              <w:t>投标人针对本项目需要提供详细和完整的进度计划，确保项目能够按期交付。</w:t>
            </w:r>
          </w:p>
        </w:tc>
        <w:tc>
          <w:tcPr>
            <w:tcW w:w="709" w:type="dxa"/>
            <w:vAlign w:val="center"/>
          </w:tcPr>
          <w:p w14:paraId="0FE9E84B">
            <w:pPr>
              <w:rPr>
                <w:rFonts w:hint="eastAsia"/>
              </w:rPr>
            </w:pPr>
            <w:r>
              <w:rPr>
                <w:rFonts w:hint="eastAsia" w:eastAsiaTheme="minorEastAsia"/>
                <w:szCs w:val="24"/>
              </w:rPr>
              <w:t>6</w:t>
            </w:r>
          </w:p>
        </w:tc>
        <w:tc>
          <w:tcPr>
            <w:tcW w:w="3685" w:type="dxa"/>
            <w:vAlign w:val="center"/>
          </w:tcPr>
          <w:p w14:paraId="1B81301C">
            <w:pPr>
              <w:rPr>
                <w:rFonts w:hint="eastAsia"/>
              </w:rPr>
            </w:pPr>
            <w:r>
              <w:rPr>
                <w:rFonts w:hint="eastAsia" w:eastAsiaTheme="minorEastAsia"/>
                <w:szCs w:val="24"/>
              </w:rPr>
              <w:t>投标人的服务方案中有详细清晰的项目执行计划，</w:t>
            </w:r>
            <w:r>
              <w:rPr>
                <w:rFonts w:eastAsiaTheme="minorEastAsia"/>
                <w:szCs w:val="24"/>
              </w:rPr>
              <w:t>0</w:t>
            </w:r>
            <w:r>
              <w:rPr>
                <w:rFonts w:hint="eastAsia" w:eastAsiaTheme="minorEastAsia"/>
                <w:szCs w:val="24"/>
              </w:rPr>
              <w:t>～2分、工作时间表和阶段性安排详尽</w:t>
            </w:r>
            <w:r>
              <w:rPr>
                <w:rFonts w:eastAsiaTheme="minorEastAsia"/>
                <w:szCs w:val="24"/>
              </w:rPr>
              <w:t>0</w:t>
            </w:r>
            <w:r>
              <w:rPr>
                <w:rFonts w:hint="eastAsia" w:eastAsiaTheme="minorEastAsia"/>
                <w:szCs w:val="24"/>
              </w:rPr>
              <w:t>～2分、详细的进度保障措施</w:t>
            </w:r>
            <w:r>
              <w:rPr>
                <w:rFonts w:eastAsiaTheme="minorEastAsia"/>
                <w:szCs w:val="24"/>
              </w:rPr>
              <w:t>0</w:t>
            </w:r>
            <w:r>
              <w:rPr>
                <w:rFonts w:hint="eastAsia" w:eastAsiaTheme="minorEastAsia"/>
                <w:szCs w:val="24"/>
              </w:rPr>
              <w:t>～2分。</w:t>
            </w:r>
          </w:p>
        </w:tc>
        <w:tc>
          <w:tcPr>
            <w:tcW w:w="709" w:type="dxa"/>
            <w:vAlign w:val="center"/>
          </w:tcPr>
          <w:p w14:paraId="461F51C0">
            <w:pPr>
              <w:rPr>
                <w:rFonts w:hint="eastAsia"/>
              </w:rPr>
            </w:pPr>
          </w:p>
        </w:tc>
        <w:tc>
          <w:tcPr>
            <w:tcW w:w="1134" w:type="dxa"/>
            <w:vAlign w:val="center"/>
          </w:tcPr>
          <w:p w14:paraId="3A9019B4"/>
        </w:tc>
      </w:tr>
      <w:tr w14:paraId="482C4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676" w:type="dxa"/>
            <w:vMerge w:val="continue"/>
            <w:vAlign w:val="center"/>
          </w:tcPr>
          <w:p w14:paraId="6D664EAA"/>
        </w:tc>
        <w:tc>
          <w:tcPr>
            <w:tcW w:w="1275" w:type="dxa"/>
            <w:vAlign w:val="center"/>
          </w:tcPr>
          <w:p w14:paraId="08E4D489">
            <w:r>
              <w:rPr>
                <w:rFonts w:hint="eastAsia" w:eastAsiaTheme="minorEastAsia"/>
                <w:szCs w:val="24"/>
              </w:rPr>
              <w:t>培训方案</w:t>
            </w:r>
          </w:p>
        </w:tc>
        <w:tc>
          <w:tcPr>
            <w:tcW w:w="2268" w:type="dxa"/>
            <w:vAlign w:val="center"/>
          </w:tcPr>
          <w:p w14:paraId="4DBA3A26">
            <w:r>
              <w:rPr>
                <w:rFonts w:hint="eastAsia"/>
                <w:sz w:val="22"/>
                <w:szCs w:val="22"/>
              </w:rPr>
              <w:t>投标人针对本项目需要提供详细的培训方案</w:t>
            </w:r>
          </w:p>
        </w:tc>
        <w:tc>
          <w:tcPr>
            <w:tcW w:w="709" w:type="dxa"/>
            <w:vAlign w:val="center"/>
          </w:tcPr>
          <w:p w14:paraId="7C55AE59">
            <w:r>
              <w:rPr>
                <w:rFonts w:hint="eastAsia" w:eastAsiaTheme="minorEastAsia"/>
                <w:szCs w:val="24"/>
              </w:rPr>
              <w:t>6</w:t>
            </w:r>
          </w:p>
        </w:tc>
        <w:tc>
          <w:tcPr>
            <w:tcW w:w="3685" w:type="dxa"/>
            <w:vAlign w:val="center"/>
          </w:tcPr>
          <w:p w14:paraId="7E0E97C5">
            <w:r>
              <w:rPr>
                <w:rFonts w:hint="eastAsia"/>
                <w:sz w:val="22"/>
                <w:szCs w:val="22"/>
              </w:rPr>
              <w:t>投标人提供详细的现场培训，不少于3次的培训内容</w:t>
            </w:r>
            <w:r>
              <w:rPr>
                <w:sz w:val="22"/>
                <w:szCs w:val="22"/>
              </w:rPr>
              <w:t>0</w:t>
            </w:r>
            <w:r>
              <w:rPr>
                <w:rFonts w:hint="eastAsia"/>
                <w:sz w:val="22"/>
                <w:szCs w:val="22"/>
              </w:rPr>
              <w:t>～3分、培训计划</w:t>
            </w:r>
            <w:r>
              <w:rPr>
                <w:sz w:val="22"/>
                <w:szCs w:val="22"/>
              </w:rPr>
              <w:t>0</w:t>
            </w:r>
            <w:r>
              <w:rPr>
                <w:rFonts w:hint="eastAsia"/>
                <w:sz w:val="22"/>
                <w:szCs w:val="22"/>
              </w:rPr>
              <w:t>～2分、培训次数每增加一次得0.5分，本项最多得6分。</w:t>
            </w:r>
          </w:p>
        </w:tc>
        <w:tc>
          <w:tcPr>
            <w:tcW w:w="709" w:type="dxa"/>
            <w:vAlign w:val="center"/>
          </w:tcPr>
          <w:p w14:paraId="10E1621F">
            <w:pPr>
              <w:rPr>
                <w:rFonts w:hint="eastAsia"/>
              </w:rPr>
            </w:pPr>
            <w:r>
              <w:rPr>
                <w:rFonts w:hint="eastAsia"/>
              </w:rPr>
              <w:t>0-6</w:t>
            </w:r>
          </w:p>
        </w:tc>
        <w:tc>
          <w:tcPr>
            <w:tcW w:w="1134" w:type="dxa"/>
            <w:vAlign w:val="center"/>
          </w:tcPr>
          <w:p w14:paraId="317DF4FD"/>
        </w:tc>
      </w:tr>
      <w:tr w14:paraId="6564C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676" w:type="dxa"/>
            <w:vMerge w:val="continue"/>
            <w:vAlign w:val="center"/>
          </w:tcPr>
          <w:p w14:paraId="663114FC"/>
        </w:tc>
        <w:tc>
          <w:tcPr>
            <w:tcW w:w="1275" w:type="dxa"/>
            <w:vAlign w:val="center"/>
          </w:tcPr>
          <w:p w14:paraId="2FD1B61B">
            <w:pPr>
              <w:widowControl/>
              <w:rPr>
                <w:sz w:val="22"/>
                <w:szCs w:val="22"/>
              </w:rPr>
            </w:pPr>
            <w:r>
              <w:rPr>
                <w:rFonts w:hint="eastAsia"/>
                <w:sz w:val="22"/>
                <w:szCs w:val="22"/>
              </w:rPr>
              <w:t>质量保障</w:t>
            </w:r>
          </w:p>
          <w:p w14:paraId="03FF0761">
            <w:r>
              <w:rPr>
                <w:rFonts w:hint="eastAsia"/>
                <w:sz w:val="22"/>
                <w:szCs w:val="22"/>
              </w:rPr>
              <w:t>方案</w:t>
            </w:r>
          </w:p>
        </w:tc>
        <w:tc>
          <w:tcPr>
            <w:tcW w:w="2268" w:type="dxa"/>
            <w:vAlign w:val="center"/>
          </w:tcPr>
          <w:p w14:paraId="69CAC311">
            <w:r>
              <w:rPr>
                <w:rFonts w:hint="eastAsia"/>
                <w:sz w:val="22"/>
                <w:szCs w:val="22"/>
              </w:rPr>
              <w:t>投标人针对本项目需要提供完善的质量保障方案</w:t>
            </w:r>
          </w:p>
        </w:tc>
        <w:tc>
          <w:tcPr>
            <w:tcW w:w="709" w:type="dxa"/>
            <w:vAlign w:val="center"/>
          </w:tcPr>
          <w:p w14:paraId="22AA512C">
            <w:r>
              <w:rPr>
                <w:rFonts w:hint="eastAsia" w:eastAsiaTheme="minorEastAsia"/>
                <w:szCs w:val="24"/>
              </w:rPr>
              <w:t>6</w:t>
            </w:r>
          </w:p>
        </w:tc>
        <w:tc>
          <w:tcPr>
            <w:tcW w:w="3685" w:type="dxa"/>
            <w:vAlign w:val="center"/>
          </w:tcPr>
          <w:p w14:paraId="7AF8D155">
            <w:r>
              <w:rPr>
                <w:rFonts w:hint="eastAsia"/>
                <w:sz w:val="22"/>
                <w:szCs w:val="22"/>
              </w:rPr>
              <w:t>有完善质量保证体系、质量保障措施的得</w:t>
            </w:r>
            <w:r>
              <w:rPr>
                <w:sz w:val="22"/>
                <w:szCs w:val="22"/>
              </w:rPr>
              <w:t>0</w:t>
            </w:r>
            <w:r>
              <w:rPr>
                <w:rFonts w:hint="eastAsia"/>
                <w:sz w:val="22"/>
                <w:szCs w:val="22"/>
              </w:rPr>
              <w:t>～3分，以及有完善的针对出现质量问题的解决方案的得</w:t>
            </w:r>
            <w:r>
              <w:rPr>
                <w:sz w:val="22"/>
                <w:szCs w:val="22"/>
              </w:rPr>
              <w:t>0</w:t>
            </w:r>
            <w:r>
              <w:rPr>
                <w:rFonts w:hint="eastAsia"/>
                <w:sz w:val="22"/>
                <w:szCs w:val="22"/>
              </w:rPr>
              <w:t>～3分。</w:t>
            </w:r>
          </w:p>
        </w:tc>
        <w:tc>
          <w:tcPr>
            <w:tcW w:w="709" w:type="dxa"/>
            <w:vAlign w:val="center"/>
          </w:tcPr>
          <w:p w14:paraId="3683AD9B">
            <w:pPr>
              <w:rPr>
                <w:rFonts w:hint="eastAsia"/>
              </w:rPr>
            </w:pPr>
            <w:r>
              <w:rPr>
                <w:rFonts w:hint="eastAsia"/>
              </w:rPr>
              <w:t>0-6</w:t>
            </w:r>
          </w:p>
        </w:tc>
        <w:tc>
          <w:tcPr>
            <w:tcW w:w="1134" w:type="dxa"/>
            <w:vAlign w:val="center"/>
          </w:tcPr>
          <w:p w14:paraId="74A7D35F"/>
        </w:tc>
      </w:tr>
      <w:tr w14:paraId="42D2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76" w:type="dxa"/>
            <w:vMerge w:val="continue"/>
            <w:vAlign w:val="center"/>
          </w:tcPr>
          <w:p w14:paraId="667E8378"/>
        </w:tc>
        <w:tc>
          <w:tcPr>
            <w:tcW w:w="1275" w:type="dxa"/>
            <w:vAlign w:val="center"/>
          </w:tcPr>
          <w:p w14:paraId="1E868756">
            <w:r>
              <w:rPr>
                <w:rFonts w:hint="eastAsia" w:eastAsiaTheme="minorEastAsia"/>
                <w:szCs w:val="24"/>
              </w:rPr>
              <w:t>售后服务</w:t>
            </w:r>
          </w:p>
        </w:tc>
        <w:tc>
          <w:tcPr>
            <w:tcW w:w="2268" w:type="dxa"/>
            <w:vAlign w:val="center"/>
          </w:tcPr>
          <w:p w14:paraId="2A02A192">
            <w:r>
              <w:rPr>
                <w:rFonts w:hint="eastAsia" w:ascii="宋体" w:hAnsi="宋体" w:cs="宋体"/>
                <w:kern w:val="0"/>
                <w:szCs w:val="21"/>
              </w:rPr>
              <w:t>根据供应商提供的项目售后服务方案，包括但不限于售后服务承诺、售后服务管理体系、售后服务计划等，进行评审。</w:t>
            </w:r>
          </w:p>
        </w:tc>
        <w:tc>
          <w:tcPr>
            <w:tcW w:w="709" w:type="dxa"/>
            <w:vAlign w:val="center"/>
          </w:tcPr>
          <w:p w14:paraId="41FD21C6">
            <w:r>
              <w:rPr>
                <w:rFonts w:hint="eastAsia" w:ascii="宋体" w:hAnsi="宋体" w:cs="宋体"/>
                <w:kern w:val="0"/>
                <w:szCs w:val="21"/>
              </w:rPr>
              <w:t>6</w:t>
            </w:r>
          </w:p>
        </w:tc>
        <w:tc>
          <w:tcPr>
            <w:tcW w:w="3685" w:type="dxa"/>
            <w:vAlign w:val="center"/>
          </w:tcPr>
          <w:p w14:paraId="554B4052">
            <w:pPr>
              <w:pStyle w:val="20"/>
              <w:numPr>
                <w:ilvl w:val="0"/>
                <w:numId w:val="3"/>
              </w:numPr>
              <w:ind w:firstLineChars="0"/>
              <w:jc w:val="left"/>
              <w:rPr>
                <w:rFonts w:eastAsiaTheme="minorEastAsia"/>
                <w:szCs w:val="24"/>
              </w:rPr>
            </w:pPr>
            <w:r>
              <w:rPr>
                <w:rFonts w:hint="eastAsia" w:eastAsiaTheme="minorEastAsia"/>
                <w:szCs w:val="24"/>
              </w:rPr>
              <w:t>售后服务方案详细、具体、符合项目要求和工作实际，得6分；</w:t>
            </w:r>
          </w:p>
          <w:p w14:paraId="42EF77B6">
            <w:pPr>
              <w:pStyle w:val="20"/>
              <w:numPr>
                <w:ilvl w:val="0"/>
                <w:numId w:val="3"/>
              </w:numPr>
              <w:ind w:firstLineChars="0"/>
              <w:jc w:val="left"/>
              <w:rPr>
                <w:rFonts w:eastAsiaTheme="minorEastAsia"/>
                <w:szCs w:val="24"/>
              </w:rPr>
            </w:pPr>
            <w:r>
              <w:rPr>
                <w:rFonts w:hint="eastAsia" w:eastAsiaTheme="minorEastAsia"/>
                <w:szCs w:val="24"/>
              </w:rPr>
              <w:t>售后服务方案较详细、较具体、较为符合项目要求和工作实际，得4分；</w:t>
            </w:r>
          </w:p>
          <w:p w14:paraId="77D0467F">
            <w:pPr>
              <w:pStyle w:val="20"/>
              <w:numPr>
                <w:ilvl w:val="0"/>
                <w:numId w:val="3"/>
              </w:numPr>
              <w:ind w:firstLineChars="0"/>
              <w:jc w:val="left"/>
              <w:rPr>
                <w:rFonts w:eastAsiaTheme="minorEastAsia"/>
                <w:szCs w:val="24"/>
              </w:rPr>
            </w:pPr>
            <w:r>
              <w:rPr>
                <w:rFonts w:hint="eastAsia" w:eastAsiaTheme="minorEastAsia"/>
                <w:szCs w:val="24"/>
              </w:rPr>
              <w:t>售后服务方案含糊、部分满足项目要求，得2分。</w:t>
            </w:r>
          </w:p>
          <w:p w14:paraId="27058A90">
            <w:pPr>
              <w:pStyle w:val="20"/>
              <w:numPr>
                <w:ilvl w:val="0"/>
                <w:numId w:val="3"/>
              </w:numPr>
              <w:ind w:firstLineChars="0"/>
              <w:jc w:val="left"/>
            </w:pPr>
            <w:r>
              <w:rPr>
                <w:rFonts w:hint="eastAsia" w:eastAsiaTheme="minorEastAsia"/>
                <w:szCs w:val="24"/>
              </w:rPr>
              <w:t>不符合项目需求或未提供者不得分。</w:t>
            </w:r>
          </w:p>
        </w:tc>
        <w:tc>
          <w:tcPr>
            <w:tcW w:w="709" w:type="dxa"/>
            <w:vAlign w:val="center"/>
          </w:tcPr>
          <w:p w14:paraId="1AA183CA">
            <w:pPr>
              <w:rPr>
                <w:rFonts w:hint="eastAsia"/>
              </w:rPr>
            </w:pPr>
            <w:r>
              <w:rPr>
                <w:rFonts w:hint="eastAsia"/>
              </w:rPr>
              <w:t>0-6</w:t>
            </w:r>
          </w:p>
        </w:tc>
        <w:tc>
          <w:tcPr>
            <w:tcW w:w="1134" w:type="dxa"/>
            <w:vAlign w:val="center"/>
          </w:tcPr>
          <w:p w14:paraId="4149AF2E"/>
        </w:tc>
      </w:tr>
      <w:tr w14:paraId="7E873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76" w:type="dxa"/>
            <w:vAlign w:val="center"/>
          </w:tcPr>
          <w:p w14:paraId="27D474A4">
            <w:r>
              <w:t>合计</w:t>
            </w:r>
          </w:p>
        </w:tc>
        <w:tc>
          <w:tcPr>
            <w:tcW w:w="1275" w:type="dxa"/>
            <w:vAlign w:val="center"/>
          </w:tcPr>
          <w:p w14:paraId="1C8B78C5"/>
        </w:tc>
        <w:tc>
          <w:tcPr>
            <w:tcW w:w="2268" w:type="dxa"/>
            <w:vAlign w:val="center"/>
          </w:tcPr>
          <w:p w14:paraId="2DA4D218"/>
        </w:tc>
        <w:tc>
          <w:tcPr>
            <w:tcW w:w="709" w:type="dxa"/>
            <w:vAlign w:val="center"/>
          </w:tcPr>
          <w:p w14:paraId="271CA2DC">
            <w:r>
              <w:t>100</w:t>
            </w:r>
          </w:p>
        </w:tc>
        <w:tc>
          <w:tcPr>
            <w:tcW w:w="3685" w:type="dxa"/>
            <w:vAlign w:val="center"/>
          </w:tcPr>
          <w:p w14:paraId="10A097FC"/>
        </w:tc>
        <w:tc>
          <w:tcPr>
            <w:tcW w:w="709" w:type="dxa"/>
            <w:vAlign w:val="center"/>
          </w:tcPr>
          <w:p w14:paraId="7BF34BA6"/>
        </w:tc>
        <w:tc>
          <w:tcPr>
            <w:tcW w:w="1134" w:type="dxa"/>
            <w:vAlign w:val="center"/>
          </w:tcPr>
          <w:p w14:paraId="3FAA2CD8"/>
        </w:tc>
      </w:tr>
    </w:tbl>
    <w:p w14:paraId="24A0C45B">
      <w:pPr>
        <w:pStyle w:val="13"/>
        <w:ind w:firstLine="420"/>
        <w:jc w:val="center"/>
        <w:rPr>
          <w:rFonts w:hint="eastAsia"/>
          <w:color w:val="000000" w:themeColor="text1"/>
          <w14:textFill>
            <w14:solidFill>
              <w14:schemeClr w14:val="tx1"/>
            </w14:solidFill>
          </w14:textFill>
        </w:rPr>
      </w:pPr>
    </w:p>
    <w:sectPr>
      <w:pgSz w:w="11906" w:h="16838"/>
      <w:pgMar w:top="1077" w:right="1077" w:bottom="1077"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94117B"/>
    <w:multiLevelType w:val="multilevel"/>
    <w:tmpl w:val="0994117B"/>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39EF5435"/>
    <w:multiLevelType w:val="multilevel"/>
    <w:tmpl w:val="39EF5435"/>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48B162F9"/>
    <w:multiLevelType w:val="multilevel"/>
    <w:tmpl w:val="48B162F9"/>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4YWI5OGE5ZmZjODRhMWFiOTI1MGM3OGM2MzMxMTQifQ=="/>
  </w:docVars>
  <w:rsids>
    <w:rsidRoot w:val="5D6E7442"/>
    <w:rsid w:val="00013DA3"/>
    <w:rsid w:val="00036200"/>
    <w:rsid w:val="00067615"/>
    <w:rsid w:val="00075EFD"/>
    <w:rsid w:val="000E1F2F"/>
    <w:rsid w:val="000F4CAB"/>
    <w:rsid w:val="00107838"/>
    <w:rsid w:val="001335F8"/>
    <w:rsid w:val="00134C87"/>
    <w:rsid w:val="00157AC3"/>
    <w:rsid w:val="001B1C40"/>
    <w:rsid w:val="001C558A"/>
    <w:rsid w:val="001D0D37"/>
    <w:rsid w:val="001E11C2"/>
    <w:rsid w:val="00205748"/>
    <w:rsid w:val="00205B21"/>
    <w:rsid w:val="00224854"/>
    <w:rsid w:val="0023457D"/>
    <w:rsid w:val="00240438"/>
    <w:rsid w:val="00260AEB"/>
    <w:rsid w:val="0027338A"/>
    <w:rsid w:val="00281C65"/>
    <w:rsid w:val="002830AC"/>
    <w:rsid w:val="002852F3"/>
    <w:rsid w:val="00291C7E"/>
    <w:rsid w:val="00293CC3"/>
    <w:rsid w:val="002955AB"/>
    <w:rsid w:val="002977E4"/>
    <w:rsid w:val="002A5A44"/>
    <w:rsid w:val="002E6752"/>
    <w:rsid w:val="00313217"/>
    <w:rsid w:val="003305A7"/>
    <w:rsid w:val="003948EB"/>
    <w:rsid w:val="003C1923"/>
    <w:rsid w:val="003F4119"/>
    <w:rsid w:val="00413D9D"/>
    <w:rsid w:val="0043629D"/>
    <w:rsid w:val="00492C8C"/>
    <w:rsid w:val="004C0C53"/>
    <w:rsid w:val="004E57EA"/>
    <w:rsid w:val="00512D3E"/>
    <w:rsid w:val="0051795B"/>
    <w:rsid w:val="00545FC1"/>
    <w:rsid w:val="005468DC"/>
    <w:rsid w:val="0056468B"/>
    <w:rsid w:val="00576511"/>
    <w:rsid w:val="005914FA"/>
    <w:rsid w:val="005D32E7"/>
    <w:rsid w:val="005D523D"/>
    <w:rsid w:val="005F0A8F"/>
    <w:rsid w:val="00611264"/>
    <w:rsid w:val="006544A9"/>
    <w:rsid w:val="006844E1"/>
    <w:rsid w:val="00742035"/>
    <w:rsid w:val="007850B2"/>
    <w:rsid w:val="007935CB"/>
    <w:rsid w:val="007C5614"/>
    <w:rsid w:val="007D3CFF"/>
    <w:rsid w:val="007D4DE2"/>
    <w:rsid w:val="00822641"/>
    <w:rsid w:val="008301A5"/>
    <w:rsid w:val="008A662B"/>
    <w:rsid w:val="008A71F9"/>
    <w:rsid w:val="008D4259"/>
    <w:rsid w:val="009035AD"/>
    <w:rsid w:val="00957B14"/>
    <w:rsid w:val="00971F6E"/>
    <w:rsid w:val="00973AC9"/>
    <w:rsid w:val="00974B95"/>
    <w:rsid w:val="00975A38"/>
    <w:rsid w:val="009903B7"/>
    <w:rsid w:val="00997D2B"/>
    <w:rsid w:val="009D7B13"/>
    <w:rsid w:val="00A22B06"/>
    <w:rsid w:val="00A31C29"/>
    <w:rsid w:val="00A37273"/>
    <w:rsid w:val="00A90B61"/>
    <w:rsid w:val="00AA4EC3"/>
    <w:rsid w:val="00AF28CE"/>
    <w:rsid w:val="00B0401C"/>
    <w:rsid w:val="00B20C22"/>
    <w:rsid w:val="00B34456"/>
    <w:rsid w:val="00B454A5"/>
    <w:rsid w:val="00BA0CD5"/>
    <w:rsid w:val="00BB31B5"/>
    <w:rsid w:val="00BB7A88"/>
    <w:rsid w:val="00BC082F"/>
    <w:rsid w:val="00BC1978"/>
    <w:rsid w:val="00BE1D5E"/>
    <w:rsid w:val="00BE30B5"/>
    <w:rsid w:val="00BF17EE"/>
    <w:rsid w:val="00C23E9F"/>
    <w:rsid w:val="00CD4FB8"/>
    <w:rsid w:val="00D42FD1"/>
    <w:rsid w:val="00D60439"/>
    <w:rsid w:val="00D62745"/>
    <w:rsid w:val="00D71B06"/>
    <w:rsid w:val="00D764A7"/>
    <w:rsid w:val="00D96657"/>
    <w:rsid w:val="00DA066D"/>
    <w:rsid w:val="00DB26C8"/>
    <w:rsid w:val="00DB7AAC"/>
    <w:rsid w:val="00DC467D"/>
    <w:rsid w:val="00DF7C15"/>
    <w:rsid w:val="00E56078"/>
    <w:rsid w:val="00E866DD"/>
    <w:rsid w:val="00EA26D1"/>
    <w:rsid w:val="00EC29D0"/>
    <w:rsid w:val="00ED4391"/>
    <w:rsid w:val="00ED508F"/>
    <w:rsid w:val="00F53F35"/>
    <w:rsid w:val="00F72D1E"/>
    <w:rsid w:val="00F72E29"/>
    <w:rsid w:val="00F775C4"/>
    <w:rsid w:val="00FE2C12"/>
    <w:rsid w:val="00FF3A2A"/>
    <w:rsid w:val="00FF499A"/>
    <w:rsid w:val="096B6DB2"/>
    <w:rsid w:val="0BFF003E"/>
    <w:rsid w:val="19376A5F"/>
    <w:rsid w:val="485C58CE"/>
    <w:rsid w:val="5D6E7442"/>
    <w:rsid w:val="69D704F9"/>
    <w:rsid w:val="6CD96767"/>
    <w:rsid w:val="6F3D0EB9"/>
    <w:rsid w:val="74995873"/>
    <w:rsid w:val="7D426303"/>
    <w:rsid w:val="7E2D6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center"/>
    </w:pPr>
    <w:rPr>
      <w:rFonts w:ascii="Times New Roman" w:hAnsi="Times New Roman" w:eastAsia="宋体" w:cs="Times New Roman"/>
      <w:kern w:val="2"/>
      <w:sz w:val="21"/>
      <w:lang w:val="en-US" w:eastAsia="zh-CN" w:bidi="ar-SA"/>
    </w:rPr>
  </w:style>
  <w:style w:type="paragraph" w:styleId="3">
    <w:name w:val="heading 2"/>
    <w:basedOn w:val="1"/>
    <w:next w:val="1"/>
    <w:link w:val="18"/>
    <w:unhideWhenUsed/>
    <w:qFormat/>
    <w:uiPriority w:val="0"/>
    <w:pPr>
      <w:keepNext/>
      <w:keepLines/>
      <w:spacing w:before="260" w:after="260" w:line="413" w:lineRule="auto"/>
      <w:jc w:val="both"/>
      <w:outlineLvl w:val="1"/>
    </w:pPr>
    <w:rPr>
      <w:rFonts w:ascii="黑体" w:hAnsi="黑体" w:eastAsia="黑体"/>
      <w:b/>
      <w:sz w:val="32"/>
      <w:szCs w:val="22"/>
    </w:rPr>
  </w:style>
  <w:style w:type="paragraph" w:styleId="4">
    <w:name w:val="heading 3"/>
    <w:basedOn w:val="1"/>
    <w:next w:val="1"/>
    <w:link w:val="19"/>
    <w:semiHidden/>
    <w:unhideWhenUsed/>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next w:val="1"/>
    <w:qFormat/>
    <w:uiPriority w:val="39"/>
    <w:pPr>
      <w:widowControl w:val="0"/>
      <w:tabs>
        <w:tab w:val="right" w:leader="dot" w:pos="8296"/>
      </w:tabs>
      <w:jc w:val="both"/>
      <w:outlineLvl w:val="0"/>
    </w:pPr>
    <w:rPr>
      <w:rFonts w:eastAsia="仿宋_GB2312" w:asciiTheme="minorHAnsi" w:hAnsiTheme="minorHAnsi" w:cstheme="minorBidi"/>
      <w:b/>
      <w:kern w:val="2"/>
      <w:sz w:val="24"/>
      <w:lang w:val="en-US" w:eastAsia="zh-CN" w:bidi="ar-SA"/>
    </w:rPr>
  </w:style>
  <w:style w:type="paragraph" w:styleId="5">
    <w:name w:val="annotation text"/>
    <w:basedOn w:val="1"/>
    <w:link w:val="16"/>
    <w:unhideWhenUsed/>
    <w:qFormat/>
    <w:uiPriority w:val="0"/>
  </w:style>
  <w:style w:type="paragraph" w:styleId="6">
    <w:name w:val="footer"/>
    <w:basedOn w:val="1"/>
    <w:link w:val="15"/>
    <w:qFormat/>
    <w:uiPriority w:val="0"/>
    <w:pPr>
      <w:tabs>
        <w:tab w:val="center" w:pos="4153"/>
        <w:tab w:val="right" w:pos="8306"/>
      </w:tabs>
      <w:snapToGrid w:val="0"/>
    </w:pPr>
    <w:rPr>
      <w:sz w:val="18"/>
      <w:szCs w:val="18"/>
    </w:rPr>
  </w:style>
  <w:style w:type="paragraph" w:styleId="7">
    <w:name w:val="header"/>
    <w:basedOn w:val="1"/>
    <w:link w:val="14"/>
    <w:qFormat/>
    <w:uiPriority w:val="0"/>
    <w:pPr>
      <w:tabs>
        <w:tab w:val="center" w:pos="4153"/>
        <w:tab w:val="right" w:pos="8306"/>
      </w:tabs>
      <w:snapToGrid w:val="0"/>
    </w:pPr>
    <w:rPr>
      <w:sz w:val="18"/>
      <w:szCs w:val="18"/>
    </w:rPr>
  </w:style>
  <w:style w:type="paragraph" w:styleId="8">
    <w:name w:val="annotation subject"/>
    <w:basedOn w:val="5"/>
    <w:next w:val="5"/>
    <w:link w:val="17"/>
    <w:semiHidden/>
    <w:unhideWhenUsed/>
    <w:qFormat/>
    <w:uiPriority w:val="0"/>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0"/>
    <w:rPr>
      <w:sz w:val="21"/>
      <w:szCs w:val="21"/>
    </w:rPr>
  </w:style>
  <w:style w:type="paragraph" w:customStyle="1" w:styleId="13">
    <w:name w:val="段"/>
    <w:next w:val="1"/>
    <w:qFormat/>
    <w:uiPriority w:val="0"/>
    <w:pPr>
      <w:autoSpaceDE w:val="0"/>
      <w:autoSpaceDN w:val="0"/>
      <w:ind w:firstLine="200" w:firstLineChars="200"/>
      <w:jc w:val="both"/>
    </w:pPr>
    <w:rPr>
      <w:rFonts w:ascii="宋体" w:hAnsi="等线" w:eastAsia="等线" w:cs="Times New Roman"/>
      <w:sz w:val="21"/>
      <w:szCs w:val="22"/>
      <w:lang w:val="en-US" w:eastAsia="zh-CN" w:bidi="ar-SA"/>
    </w:rPr>
  </w:style>
  <w:style w:type="character" w:customStyle="1" w:styleId="14">
    <w:name w:val="页眉 字符"/>
    <w:basedOn w:val="11"/>
    <w:link w:val="7"/>
    <w:qFormat/>
    <w:uiPriority w:val="0"/>
    <w:rPr>
      <w:rFonts w:ascii="Times New Roman" w:hAnsi="Times New Roman" w:eastAsia="宋体" w:cs="Times New Roman"/>
      <w:kern w:val="2"/>
      <w:sz w:val="18"/>
      <w:szCs w:val="18"/>
    </w:rPr>
  </w:style>
  <w:style w:type="character" w:customStyle="1" w:styleId="15">
    <w:name w:val="页脚 字符"/>
    <w:basedOn w:val="11"/>
    <w:link w:val="6"/>
    <w:qFormat/>
    <w:uiPriority w:val="0"/>
    <w:rPr>
      <w:rFonts w:ascii="Times New Roman" w:hAnsi="Times New Roman" w:eastAsia="宋体" w:cs="Times New Roman"/>
      <w:kern w:val="2"/>
      <w:sz w:val="18"/>
      <w:szCs w:val="18"/>
    </w:rPr>
  </w:style>
  <w:style w:type="character" w:customStyle="1" w:styleId="16">
    <w:name w:val="批注文字 字符"/>
    <w:basedOn w:val="11"/>
    <w:link w:val="5"/>
    <w:qFormat/>
    <w:uiPriority w:val="0"/>
    <w:rPr>
      <w:rFonts w:ascii="Times New Roman" w:hAnsi="Times New Roman" w:eastAsia="宋体" w:cs="Times New Roman"/>
      <w:kern w:val="2"/>
      <w:sz w:val="21"/>
    </w:rPr>
  </w:style>
  <w:style w:type="character" w:customStyle="1" w:styleId="17">
    <w:name w:val="批注主题 字符"/>
    <w:basedOn w:val="16"/>
    <w:link w:val="8"/>
    <w:semiHidden/>
    <w:qFormat/>
    <w:uiPriority w:val="0"/>
    <w:rPr>
      <w:rFonts w:ascii="Times New Roman" w:hAnsi="Times New Roman" w:eastAsia="宋体" w:cs="Times New Roman"/>
      <w:b/>
      <w:bCs/>
      <w:kern w:val="2"/>
      <w:sz w:val="21"/>
    </w:rPr>
  </w:style>
  <w:style w:type="character" w:customStyle="1" w:styleId="18">
    <w:name w:val="标题 2 字符"/>
    <w:basedOn w:val="11"/>
    <w:link w:val="3"/>
    <w:qFormat/>
    <w:uiPriority w:val="0"/>
    <w:rPr>
      <w:rFonts w:ascii="黑体" w:hAnsi="黑体" w:eastAsia="黑体" w:cs="Times New Roman"/>
      <w:b/>
      <w:kern w:val="2"/>
      <w:sz w:val="32"/>
      <w:szCs w:val="22"/>
    </w:rPr>
  </w:style>
  <w:style w:type="character" w:customStyle="1" w:styleId="19">
    <w:name w:val="标题 3 字符"/>
    <w:basedOn w:val="11"/>
    <w:link w:val="4"/>
    <w:semiHidden/>
    <w:qFormat/>
    <w:uiPriority w:val="0"/>
    <w:rPr>
      <w:rFonts w:ascii="Times New Roman" w:hAnsi="Times New Roman" w:eastAsia="宋体" w:cs="Times New Roman"/>
      <w:b/>
      <w:bCs/>
      <w:kern w:val="2"/>
      <w:sz w:val="32"/>
      <w:szCs w:val="32"/>
    </w:rPr>
  </w:style>
  <w:style w:type="paragraph" w:styleId="20">
    <w:name w:val="List Paragraph"/>
    <w:basedOn w:val="1"/>
    <w:unhideWhenUsed/>
    <w:qFormat/>
    <w:uiPriority w:val="99"/>
    <w:pPr>
      <w:ind w:firstLine="420" w:firstLineChars="200"/>
      <w:jc w:val="both"/>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D6F8E-C0EC-4C7B-A1AC-A49A7128E28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1531</Words>
  <Characters>1580</Characters>
  <Lines>108</Lines>
  <Paragraphs>85</Paragraphs>
  <TotalTime>52</TotalTime>
  <ScaleCrop>false</ScaleCrop>
  <LinksUpToDate>false</LinksUpToDate>
  <CharactersWithSpaces>1580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Jnone</dc:creator>
  <cp:lastModifiedBy>Jnone</cp:lastModifiedBy>
  <cp:revision>49</cp:revision>
  <dcterms:created xsi:type="dcterms:W3CDTF">2025-03-28T00:56:00Z</dcterms:created>
  <dcterms:modified xsi:type="dcterms:W3CDTF">2025-04-24T06:32:51Z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3E66F925D7FE44C982F9551B33D09B61_13</vt:lpwstr>
  </property>
  <property fmtid="{D5CDD505-2E9C-101B-9397-08002B2CF9AE}" pid="4" name="KSOTemplateDocerSaveRecord">
    <vt:lpwstr>eyJoZGlkIjoiYTdhODdiYzRjM2YxZDQzNWIwNTRjOTEwYmMwODkwYjIiLCJ1c2VySWQiOiI0MjQ4NTI3NzAifQ==</vt:lpwstr>
  </property>
</Properties>
</file>